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C3B6" w14:textId="77777777"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81B79" w14:textId="757EA96D"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D90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D90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18885919" w14:textId="5122DEE0"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5BB14874" w14:textId="43F4057A"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08E7AE5F" w14:textId="77777777"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14:paraId="42A9253F" w14:textId="1CFED5A8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14:paraId="6E06C038" w14:textId="418CA55F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  <w:r w:rsidR="00D90D5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«Формула успеха»</w:t>
      </w:r>
    </w:p>
    <w:p w14:paraId="1409187C" w14:textId="4300E220"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специалистов «учитель- учитель, ученик — ученик, учител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ь-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ученик, ментор - учитель»; </w:t>
      </w:r>
    </w:p>
    <w:p w14:paraId="3BFD1581" w14:textId="7135E07E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14:paraId="772EC223" w14:textId="77F3F389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наставничества в информационном поле </w:t>
      </w:r>
      <w:r w:rsidR="00D90D55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Приморского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края; реализация </w:t>
      </w:r>
    </w:p>
    <w:p w14:paraId="57DAB578" w14:textId="7F68D6BC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  <w:bookmarkStart w:id="0" w:name="_GoBack"/>
      <w:bookmarkEnd w:id="0"/>
    </w:p>
    <w:p w14:paraId="7C70A710" w14:textId="7BE898ED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результатов мониторинга реализации программ наставничества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</w:t>
      </w:r>
      <w:r w:rsidR="00D90D55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МБОУ «</w:t>
      </w:r>
      <w:proofErr w:type="spellStart"/>
      <w:r w:rsidR="00D90D55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Сергеевская</w:t>
      </w:r>
      <w:proofErr w:type="spellEnd"/>
      <w:r w:rsidR="00D90D55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 xml:space="preserve"> СОШ ПМО»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14:paraId="3477C8B6" w14:textId="77777777"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14:paraId="6BA0339A" w14:textId="77777777"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322B70C1" w14:textId="646757CD"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14:paraId="479170C8" w14:textId="7BE89CDE"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14:paraId="31A08C3D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14:paraId="7730C2FE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14:paraId="24B58B60" w14:textId="41B4AF03"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14:paraId="4BAADBA8" w14:textId="74B9A680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113580FA" w14:textId="4CA1AFB1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71DDEDF8" w14:textId="77777777"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63B0BA83" w14:textId="77777777"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14:paraId="7928A7AF" w14:textId="77777777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77777777"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14:paraId="2F76BA33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77777777"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77777777"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14:paraId="096C88BB" w14:textId="77777777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14:paraId="3099B64A" w14:textId="77777777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0DA" w14:textId="48AB106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767" w14:textId="18643084" w:rsidR="007817C1" w:rsidRPr="007817C1" w:rsidRDefault="007817C1" w:rsidP="00D90D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.202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7A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DD7" w14:textId="77777777"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14:paraId="0D4CF37D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C6A" w14:textId="77777777"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77AB6A9A" w14:textId="77777777"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Кондрашова А.И.</w:t>
            </w:r>
          </w:p>
          <w:p w14:paraId="5C25C8EB" w14:textId="084F8378" w:rsidR="00F8412F" w:rsidRPr="007817C1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Сафронова А.В.</w:t>
            </w:r>
          </w:p>
        </w:tc>
      </w:tr>
      <w:tr w:rsidR="00BD7B51" w:rsidRPr="007817C1" w14:paraId="64E1F068" w14:textId="77777777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489" w14:textId="77777777"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10C1D1C0" w14:textId="77777777"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6986E7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77777777"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14:paraId="1B9D010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4A9D" w14:textId="30430D6E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</w:t>
            </w:r>
            <w:r w:rsidR="00FB4F0F">
              <w:rPr>
                <w:rFonts w:ascii="Times New Roman" w:eastAsia="Times New Roman" w:hAnsi="Times New Roman" w:cs="Times New Roman"/>
                <w:color w:val="000000"/>
                <w:sz w:val="23"/>
              </w:rPr>
              <w:t>ы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внедрения целевой модели наставничества </w:t>
            </w:r>
          </w:p>
          <w:p w14:paraId="713DA4A3" w14:textId="14378056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BD7B51" w:rsidRPr="007817C1" w14:paraId="2886DA83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4E6" w14:textId="77777777"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14:paraId="43B8C3B5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CAA" w14:textId="39002D35" w:rsidR="007817C1" w:rsidRPr="007817C1" w:rsidRDefault="007817C1" w:rsidP="00D90D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10.10.202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B4A" w14:textId="77777777"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54E" w14:textId="77777777"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8D0F" w14:textId="66D4FE95" w:rsidR="00F8412F" w:rsidRDefault="00FB4F0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Старченко И.В.</w:t>
            </w:r>
          </w:p>
          <w:p w14:paraId="043CB8B6" w14:textId="140123CA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BD7B51" w:rsidRPr="007817C1" w14:paraId="44B3A6F6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9680" w14:textId="77777777" w:rsidR="007817C1" w:rsidRPr="007817C1" w:rsidRDefault="007817C1" w:rsidP="007817C1">
            <w:pPr>
              <w:spacing w:line="233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Заключение соглашений с организациями- партнерами по </w:t>
            </w:r>
          </w:p>
          <w:p w14:paraId="4B8F8E35" w14:textId="4574025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внедрению целевой модели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BB2" w14:textId="7C72E604" w:rsidR="007817C1" w:rsidRPr="007817C1" w:rsidRDefault="007817C1" w:rsidP="00D90D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сентября 202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0B4" w14:textId="77777777"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Соглашения с организациями- партнерами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B898" w14:textId="0E8B42BD" w:rsidR="007817C1" w:rsidRPr="007817C1" w:rsidRDefault="007817C1" w:rsidP="007817C1">
            <w:pPr>
              <w:ind w:left="170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Например, 2% организаций, предприятий принял участие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723" w14:textId="77777777"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14:paraId="4FF6A8B9" w14:textId="730E6A37" w:rsidR="007817C1" w:rsidRPr="007817C1" w:rsidRDefault="00851516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Валентова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Л.М.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BD7B51" w:rsidRPr="007817C1" w14:paraId="5E7644F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77777777"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0F8C12CC"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47C" w14:textId="61F9EB09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14:paraId="432ADD3D" w14:textId="0951F141" w:rsidR="007817C1" w:rsidRPr="007817C1" w:rsidRDefault="00851516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Валентова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Л.М.</w:t>
            </w:r>
          </w:p>
        </w:tc>
      </w:tr>
      <w:tr w:rsidR="00BD7B51" w:rsidRPr="007817C1" w14:paraId="3C27893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19B13442" w:rsidR="007817C1" w:rsidRPr="007817C1" w:rsidRDefault="007817C1" w:rsidP="00D90D55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10.09.202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E7B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14:paraId="28C37550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37B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BD7B51" w:rsidRPr="007817C1" w14:paraId="46C014DB" w14:textId="77777777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8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14:paraId="463E7511" w14:textId="1AA16787" w:rsidR="007817C1" w:rsidRPr="007817C1" w:rsidRDefault="007817C1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202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651DEFB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BC4" w14:textId="7A921594" w:rsidR="00CC074A" w:rsidRPr="007817C1" w:rsidRDefault="00851516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Кривых Н.В.</w:t>
            </w:r>
          </w:p>
        </w:tc>
      </w:tr>
      <w:tr w:rsidR="00BD7B51" w:rsidRPr="007817C1" w14:paraId="7098F49D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E9B4" w14:textId="0C42ABF7"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08CE778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624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92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DAE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D78" w14:textId="009AB47C" w:rsidR="007817C1" w:rsidRPr="007817C1" w:rsidRDefault="00851516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Кривых Н.В.</w:t>
            </w:r>
          </w:p>
        </w:tc>
      </w:tr>
      <w:tr w:rsidR="00BD7B51" w:rsidRPr="007817C1" w14:paraId="76CBE57F" w14:textId="77777777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работы наставнических пар или групп: </w:t>
            </w:r>
          </w:p>
          <w:p w14:paraId="4395156D" w14:textId="77777777"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14:paraId="4963C113" w14:textId="77777777"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14:paraId="12F2E4E0" w14:textId="77777777"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14:paraId="0B43193B" w14:textId="77777777"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14:paraId="282B9439" w14:textId="77777777"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14:paraId="2AE2137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38E55D5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DE7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14:paraId="23CFD284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14:paraId="2365170E" w14:textId="77777777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D19B" w14:textId="7C687806"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33F" w14:textId="751C370B"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CDB" w14:textId="36940D57"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6A5" w14:textId="70C2A9C8"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706" w14:textId="758088D2"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14:paraId="5E95F254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7817C1" w:rsidRPr="007817C1" w14:paraId="193AF2F8" w14:textId="77777777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E1" w14:textId="74AF8DAD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14:paraId="52F1FD53" w14:textId="77777777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A78C727"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2CC" w14:textId="4D0BB4A1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</w:t>
            </w:r>
            <w:r w:rsidR="003B2F3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наставники</w:t>
            </w:r>
          </w:p>
        </w:tc>
      </w:tr>
      <w:tr w:rsidR="007817C1" w:rsidRPr="007817C1" w14:paraId="286D8781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77777777"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D6D" w14:textId="460A5FA6" w:rsidR="007817C1" w:rsidRPr="007817C1" w:rsidRDefault="007817C1" w:rsidP="00D90D55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мая 202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40FB77A"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81A" w14:textId="77777777"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35376013" w14:textId="1C70F264"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14:paraId="0DB2FE75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14:paraId="0E63B83F" w14:textId="77777777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687" w14:textId="76AC5A28"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3B2F3E">
              <w:rPr>
                <w:rFonts w:ascii="Times New Roman" w:eastAsia="Times New Roman" w:hAnsi="Times New Roman" w:cs="Times New Roman"/>
                <w:color w:val="000000"/>
                <w:sz w:val="23"/>
              </w:rPr>
              <w:t>Кривых Н.В.</w:t>
            </w:r>
          </w:p>
        </w:tc>
      </w:tr>
      <w:tr w:rsidR="007817C1" w:rsidRPr="007817C1" w14:paraId="105FCE0A" w14:textId="77777777" w:rsidTr="00425C2A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C2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DD8" w14:textId="25242D09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38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FB56" w14:textId="5CAC3C7D" w:rsidR="007817C1" w:rsidRPr="007817C1" w:rsidRDefault="003B2F3E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Валентова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Л.М.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4C6FE81A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729" w14:textId="77777777" w:rsidR="007817C1" w:rsidRP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C35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EB3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31D" w14:textId="311C4CE5" w:rsidR="007817C1" w:rsidRPr="007817C1" w:rsidRDefault="003B2F3E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Кривых Н.В.</w:t>
            </w:r>
          </w:p>
        </w:tc>
      </w:tr>
      <w:tr w:rsidR="007817C1" w:rsidRPr="007817C1" w14:paraId="7FD0BCA0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14:paraId="47C33B35" w14:textId="77777777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D3" w14:textId="42017398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98CE843" w14:textId="77777777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AE1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F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939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D6F1" w14:textId="2F030945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14:paraId="2DB75757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425C2A" w:rsidRPr="007817C1" w14:paraId="32ECB8B9" w14:textId="77777777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67F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3E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755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86C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0EDDEC75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265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14:paraId="2967575D" w14:textId="77777777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E15" w14:textId="77777777"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B5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5C4" w14:textId="77777777"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730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14:paraId="1F7C74B2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14:paraId="0C6235C8" w14:textId="77777777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14C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FA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B" w14:textId="77777777"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3F1" w14:textId="268521FC" w:rsidR="007817C1" w:rsidRPr="007817C1" w:rsidRDefault="003B2F3E" w:rsidP="007817C1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Д.С.</w:t>
            </w:r>
          </w:p>
        </w:tc>
      </w:tr>
      <w:tr w:rsidR="00425C2A" w:rsidRPr="007817C1" w14:paraId="12AD6844" w14:textId="77777777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A1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828" w14:textId="77777777"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706AA1CD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45CE1E8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88" w14:textId="20322099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F3D" w14:textId="55CCFF19" w:rsidR="007817C1" w:rsidRPr="007817C1" w:rsidRDefault="003B2F3E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А.Д.</w:t>
            </w:r>
          </w:p>
        </w:tc>
      </w:tr>
      <w:tr w:rsidR="00425C2A" w:rsidRPr="007817C1" w14:paraId="496EEC59" w14:textId="77777777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1A2E94A8" w:rsidR="007817C1" w:rsidRPr="007817C1" w:rsidRDefault="007817C1" w:rsidP="00D90D5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октября 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1199DB42"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541" w14:textId="5BFDB120" w:rsidR="007817C1" w:rsidRPr="007817C1" w:rsidRDefault="003B2F3E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С.П.</w:t>
            </w:r>
          </w:p>
        </w:tc>
      </w:tr>
      <w:tr w:rsidR="00425C2A" w:rsidRPr="007817C1" w14:paraId="735BEF87" w14:textId="77777777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6" w14:textId="77777777"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43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069" w14:textId="77777777"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097" w14:textId="7BB94449" w:rsidR="007817C1" w:rsidRPr="007817C1" w:rsidRDefault="003B2F3E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Полехина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С.П.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</w:p>
        </w:tc>
      </w:tr>
      <w:tr w:rsidR="00425C2A" w:rsidRPr="007817C1" w14:paraId="2586325F" w14:textId="77777777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39B" w14:textId="77777777"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B0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2BD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2F1" w14:textId="65C90E40" w:rsidR="007817C1" w:rsidRPr="007817C1" w:rsidRDefault="00BD7B5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425C2A" w:rsidRPr="007817C1" w14:paraId="21FF7A56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8B" w14:textId="35AFA0A7" w:rsidR="007817C1" w:rsidRPr="007817C1" w:rsidRDefault="007817C1" w:rsidP="003B2F3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9A8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71653E9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93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5AEF" w14:textId="756C9121" w:rsidR="007817C1" w:rsidRPr="007817C1" w:rsidRDefault="00CC074A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187F9D0E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14:paraId="688A9855" w14:textId="77777777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028D156B" w14:textId="77777777"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97B51E1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F9D" w14:textId="6479F4C2" w:rsidR="007817C1" w:rsidRPr="007817C1" w:rsidRDefault="003B2F3E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Валентова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Л.М.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425C2A" w:rsidRPr="007817C1" w14:paraId="1F677156" w14:textId="77777777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EDF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FE497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46A12FC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1A9C0" w14:textId="77777777"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9EBCA" w14:textId="1EC30600"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14:paraId="0FE6B7DF" w14:textId="77777777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57E153CD" w:rsidR="00CC074A" w:rsidRPr="007817C1" w:rsidRDefault="00CC074A" w:rsidP="00D90D55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азработка дорожной карты на 2024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- 202</w:t>
            </w:r>
            <w:r w:rsidR="00D90D55">
              <w:rPr>
                <w:rFonts w:ascii="Times New Roman" w:eastAsia="Times New Roman" w:hAnsi="Times New Roman" w:cs="Times New Roman"/>
                <w:color w:val="000000"/>
                <w:sz w:val="23"/>
              </w:rPr>
              <w:t>5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30C91315" w:rsidR="00CC074A" w:rsidRPr="007817C1" w:rsidRDefault="00CC074A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77777777"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14:paraId="4B8457D6" w14:textId="1500F5B8"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F8064" w14:textId="77777777"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7B6BF67E" w14:textId="77777777"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14:paraId="2F2A96C4" w14:textId="77DC467E"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14:paraId="79FA625C" w14:textId="77777777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22FEAA8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1EE0B50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24781678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7BE" w14:textId="77777777"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14:paraId="159C686C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C5EBA99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9293E5F" w14:textId="77777777"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E4AA498" w14:textId="77777777"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0992C25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F3F4183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8C10FAA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1182B4C4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5E5D8C08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AC61E8B" w14:textId="7A58BD81" w:rsidR="00337F34" w:rsidRPr="00425C2A" w:rsidRDefault="00337F34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A6743" w14:textId="77777777" w:rsidR="00322CD8" w:rsidRDefault="00322CD8" w:rsidP="007817C1">
      <w:pPr>
        <w:spacing w:after="0" w:line="240" w:lineRule="auto"/>
      </w:pPr>
      <w:r>
        <w:separator/>
      </w:r>
    </w:p>
  </w:endnote>
  <w:endnote w:type="continuationSeparator" w:id="0">
    <w:p w14:paraId="2A6CF470" w14:textId="77777777" w:rsidR="00322CD8" w:rsidRDefault="00322CD8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D1CC3" w14:textId="77777777" w:rsidR="00322CD8" w:rsidRDefault="00322CD8" w:rsidP="007817C1">
      <w:pPr>
        <w:spacing w:after="0" w:line="240" w:lineRule="auto"/>
      </w:pPr>
      <w:r>
        <w:separator/>
      </w:r>
    </w:p>
  </w:footnote>
  <w:footnote w:type="continuationSeparator" w:id="0">
    <w:p w14:paraId="47892548" w14:textId="77777777" w:rsidR="00322CD8" w:rsidRDefault="00322CD8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1"/>
    <w:rsid w:val="00322CD8"/>
    <w:rsid w:val="00337F34"/>
    <w:rsid w:val="003B2F3E"/>
    <w:rsid w:val="00425C2A"/>
    <w:rsid w:val="005C3EB2"/>
    <w:rsid w:val="005F21E2"/>
    <w:rsid w:val="007817C1"/>
    <w:rsid w:val="00851516"/>
    <w:rsid w:val="00BD7B51"/>
    <w:rsid w:val="00C61D79"/>
    <w:rsid w:val="00CC074A"/>
    <w:rsid w:val="00D90D55"/>
    <w:rsid w:val="00DA7A38"/>
    <w:rsid w:val="00E13775"/>
    <w:rsid w:val="00F8412F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17</cp:lastModifiedBy>
  <cp:revision>3</cp:revision>
  <dcterms:created xsi:type="dcterms:W3CDTF">2024-01-31T04:06:00Z</dcterms:created>
  <dcterms:modified xsi:type="dcterms:W3CDTF">2024-01-31T04:08:00Z</dcterms:modified>
</cp:coreProperties>
</file>