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hanging="0" w:right="5799"/>
        <w:jc w:val="center"/>
        <w:rPr>
          <w:b/>
          <w:bCs/>
          <w:spacing w:val="20"/>
        </w:rPr>
      </w:pPr>
      <w:r>
        <w:rPr/>
        <w:drawing>
          <wp:inline distT="0" distB="0" distL="0" distR="0">
            <wp:extent cx="579755" cy="68580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45" t="-198" r="-245" b="-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9781" w:type="dxa"/>
        <w:jc w:val="left"/>
        <w:tblInd w:w="107" w:type="dxa"/>
        <w:tblLayout w:type="fixed"/>
        <w:tblCellMar>
          <w:top w:w="0" w:type="dxa"/>
          <w:left w:w="107" w:type="dxa"/>
          <w:bottom w:w="0" w:type="dxa"/>
          <w:right w:w="107" w:type="dxa"/>
        </w:tblCellMar>
        <w:tblLook w:noVBand="1" w:val="04a0" w:noHBand="0" w:lastColumn="0" w:firstColumn="1" w:lastRow="0" w:firstRow="1"/>
      </w:tblPr>
      <w:tblGrid>
        <w:gridCol w:w="223"/>
        <w:gridCol w:w="345"/>
        <w:gridCol w:w="1560"/>
        <w:gridCol w:w="417"/>
        <w:gridCol w:w="1385"/>
        <w:gridCol w:w="1795"/>
        <w:gridCol w:w="4055"/>
      </w:tblGrid>
      <w:tr>
        <w:trPr/>
        <w:tc>
          <w:tcPr>
            <w:tcW w:w="3930" w:type="dxa"/>
            <w:gridSpan w:val="5"/>
            <w:tcBorders/>
          </w:tcPr>
          <w:p>
            <w:pPr>
              <w:pStyle w:val="Normal"/>
              <w:keepNext w:val="true"/>
              <w:widowControl w:val="false"/>
              <w:spacing w:lineRule="exact" w:line="280" w:before="120" w:after="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МИНИСТЕРСТВО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ОБРАЗОВАНИЯ</w:t>
            </w:r>
          </w:p>
          <w:p>
            <w:pPr>
              <w:pStyle w:val="Normal"/>
              <w:widowControl w:val="false"/>
              <w:spacing w:lineRule="exact" w:line="280"/>
              <w:jc w:val="center"/>
              <w:rPr>
                <w:b/>
                <w:bCs/>
                <w:spacing w:val="20"/>
                <w:sz w:val="24"/>
                <w:szCs w:val="24"/>
              </w:rPr>
            </w:pPr>
            <w:r>
              <w:rPr>
                <w:b/>
                <w:bCs/>
                <w:spacing w:val="20"/>
                <w:sz w:val="24"/>
                <w:szCs w:val="24"/>
              </w:rPr>
              <w:t>ПРИМОРСКОГО КРАЯ</w:t>
            </w:r>
          </w:p>
          <w:p>
            <w:pPr>
              <w:pStyle w:val="Normal"/>
              <w:widowControl w:val="false"/>
              <w:spacing w:lineRule="exact" w:line="180"/>
              <w:jc w:val="center"/>
              <w:rPr>
                <w:rFonts w:ascii="Times New Roman" w:hAnsi="Times New Roman"/>
                <w:b/>
                <w:bCs/>
                <w:spacing w:val="20"/>
                <w:sz w:val="18"/>
              </w:rPr>
            </w:pPr>
            <w:r>
              <w:rPr>
                <w:b/>
                <w:bCs/>
                <w:spacing w:val="20"/>
                <w:sz w:val="18"/>
              </w:rPr>
            </w:r>
          </w:p>
          <w:p>
            <w:pPr>
              <w:pStyle w:val="Normal"/>
              <w:widowControl w:val="false"/>
              <w:spacing w:lineRule="exact" w:line="180"/>
              <w:jc w:val="center"/>
              <w:rPr/>
            </w:pPr>
            <w:r>
              <w:rPr>
                <w:sz w:val="18"/>
                <w:szCs w:val="18"/>
              </w:rPr>
              <w:t>ул.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Светланская, 22, г. Владивосток, 690110</w:t>
            </w:r>
          </w:p>
          <w:p>
            <w:pPr>
              <w:pStyle w:val="Normal"/>
              <w:widowControl w:val="false"/>
              <w:spacing w:lineRule="exact" w:line="200"/>
              <w:ind w:hanging="0" w:left="-57" w:right="-57"/>
              <w:jc w:val="center"/>
              <w:rPr/>
            </w:pPr>
            <w:r>
              <w:rPr>
                <w:sz w:val="18"/>
                <w:szCs w:val="18"/>
              </w:rPr>
              <w:t>Телефон: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(423)</w:t>
            </w:r>
            <w:r>
              <w:rPr>
                <w:sz w:val="18"/>
                <w:szCs w:val="18"/>
                <w:lang w:val="en-US"/>
              </w:rPr>
              <w:t> </w:t>
            </w:r>
            <w:r>
              <w:rPr>
                <w:sz w:val="18"/>
                <w:szCs w:val="18"/>
              </w:rPr>
              <w:t>240-28-04</w:t>
            </w:r>
          </w:p>
          <w:p>
            <w:pPr>
              <w:pStyle w:val="Normal"/>
              <w:widowControl w:val="fals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E</w:t>
            </w: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mail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en-US"/>
              </w:rPr>
              <w:t>minobrpk</w:t>
            </w:r>
            <w:r>
              <w:rPr>
                <w:sz w:val="18"/>
                <w:szCs w:val="18"/>
              </w:rPr>
              <w:t>@</w:t>
            </w:r>
            <w:r>
              <w:rPr>
                <w:sz w:val="18"/>
                <w:szCs w:val="18"/>
                <w:lang w:val="en-US"/>
              </w:rPr>
              <w:t>primorsky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ru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795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4055" w:type="dxa"/>
            <w:vMerge w:val="restart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3625" w:leader="none"/>
              </w:tabs>
              <w:suppressAutoHyphens w:val="false"/>
              <w:bidi w:val="0"/>
              <w:spacing w:before="15" w:after="0"/>
              <w:ind w:hanging="0" w:left="850" w:right="57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Руководителям</w:t>
              <w:br/>
              <w:t xml:space="preserve">муниципальных 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3625" w:leader="none"/>
              </w:tabs>
              <w:suppressAutoHyphens w:val="false"/>
              <w:bidi w:val="0"/>
              <w:spacing w:before="15" w:after="0"/>
              <w:ind w:hanging="0" w:left="850" w:right="57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 xml:space="preserve">органов управления </w:t>
            </w:r>
          </w:p>
          <w:p>
            <w:pPr>
              <w:pStyle w:val="BodyText"/>
              <w:widowControl w:val="false"/>
              <w:tabs>
                <w:tab w:val="clear" w:pos="720"/>
                <w:tab w:val="left" w:pos="3625" w:leader="none"/>
              </w:tabs>
              <w:suppressAutoHyphens w:val="false"/>
              <w:bidi w:val="0"/>
              <w:spacing w:before="15" w:after="0"/>
              <w:ind w:hanging="0" w:left="850" w:right="57"/>
              <w:jc w:val="both"/>
              <w:rPr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  <w:t>образованием</w:t>
            </w:r>
          </w:p>
          <w:p>
            <w:pPr>
              <w:pStyle w:val="BodyText"/>
              <w:widowControl w:val="false"/>
              <w:suppressAutoHyphens w:val="false"/>
              <w:bidi w:val="0"/>
              <w:spacing w:before="15" w:after="0"/>
              <w:ind w:hanging="0" w:left="907" w:right="57"/>
              <w:jc w:val="both"/>
              <w:rPr>
                <w:rFonts w:ascii="Times New Roman" w:hAnsi="Times New Roman"/>
                <w:b w:val="false"/>
                <w:bCs w:val="false"/>
                <w:sz w:val="28"/>
                <w:szCs w:val="28"/>
              </w:rPr>
            </w:pPr>
            <w:r>
              <w:rPr>
                <w:b w:val="false"/>
                <w:bCs w:val="false"/>
                <w:sz w:val="28"/>
                <w:szCs w:val="28"/>
              </w:rPr>
            </w:r>
          </w:p>
          <w:p>
            <w:pPr>
              <w:pStyle w:val="BodyText"/>
              <w:widowControl w:val="false"/>
              <w:suppressAutoHyphens w:val="false"/>
              <w:bidi w:val="0"/>
              <w:spacing w:before="15" w:after="0"/>
              <w:ind w:hanging="0" w:left="850"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84" w:hRule="atLeast"/>
        </w:trPr>
        <w:tc>
          <w:tcPr>
            <w:tcW w:w="223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jc w:val="center"/>
              <w:rPr>
                <w:spacing w:val="60"/>
                <w:sz w:val="20"/>
              </w:rPr>
            </w:pPr>
            <w:r>
              <w:rPr>
                <w:spacing w:val="60"/>
                <w:sz w:val="20"/>
              </w:rPr>
            </w:r>
          </w:p>
        </w:tc>
        <w:tc>
          <w:tcPr>
            <w:tcW w:w="1905" w:type="dxa"/>
            <w:gridSpan w:val="2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-107" w:right="-107"/>
              <w:jc w:val="center"/>
              <w:rPr>
                <w:spacing w:val="60"/>
                <w:sz w:val="16"/>
                <w:szCs w:val="16"/>
              </w:rPr>
            </w:pPr>
            <w:r>
              <w:rPr>
                <w:spacing w:val="60"/>
                <w:sz w:val="16"/>
                <w:szCs w:val="16"/>
              </w:rPr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widowControl w:val="false"/>
              <w:ind w:hanging="0"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1385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-87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95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405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284" w:hRule="atLeast"/>
        </w:trPr>
        <w:tc>
          <w:tcPr>
            <w:tcW w:w="568" w:type="dxa"/>
            <w:gridSpan w:val="2"/>
            <w:tcBorders/>
            <w:vAlign w:val="bottom"/>
          </w:tcPr>
          <w:p>
            <w:pPr>
              <w:pStyle w:val="Normal"/>
              <w:widowControl w:val="false"/>
              <w:ind w:hanging="0" w:left="-107" w:right="-107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№</w:t>
            </w:r>
          </w:p>
        </w:tc>
        <w:tc>
          <w:tcPr>
            <w:tcW w:w="1560" w:type="dxa"/>
            <w:tcBorders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-57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417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spacing w:before="180" w:after="0"/>
              <w:ind w:hanging="0" w:left="-113"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napToGrid w:val="false"/>
              <w:ind w:hanging="0" w:left="-107" w:right="-10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795" w:type="dxa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405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</w:tr>
      <w:tr>
        <w:trPr>
          <w:trHeight w:val="58" w:hRule="atLeast"/>
        </w:trPr>
        <w:tc>
          <w:tcPr>
            <w:tcW w:w="5725" w:type="dxa"/>
            <w:gridSpan w:val="6"/>
            <w:tcBorders/>
            <w:vAlign w:val="bottom"/>
          </w:tcPr>
          <w:p>
            <w:pPr>
              <w:pStyle w:val="Normal"/>
              <w:widowControl w:val="false"/>
              <w:snapToGrid w:val="false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</w:r>
          </w:p>
        </w:tc>
        <w:tc>
          <w:tcPr>
            <w:tcW w:w="4055" w:type="dxa"/>
            <w:vMerge w:val="continue"/>
            <w:tcBorders/>
          </w:tcPr>
          <w:p>
            <w:pPr>
              <w:pStyle w:val="Normal"/>
              <w:widowControl w:val="false"/>
              <w:snapToGrid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ConsPlusNormal1"/>
        <w:widowControl/>
        <w:spacing w:lineRule="auto" w:line="360"/>
        <w:ind w:hanging="0"/>
        <w:jc w:val="center"/>
        <w:rPr>
          <w:rFonts w:ascii="Times New Roman" w:hAnsi="Times New Roman" w:cs="Times New Roman"/>
          <w:color w:val="auto"/>
        </w:rPr>
      </w:pPr>
      <w:r>
        <w:rPr>
          <w:sz w:val="26"/>
          <w:szCs w:val="26"/>
        </w:rPr>
      </w:r>
    </w:p>
    <w:p>
      <w:pPr>
        <w:pStyle w:val="ConsPlusNormal1"/>
        <w:widowControl/>
        <w:spacing w:lineRule="auto" w:line="360"/>
        <w:ind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Уважаемы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lang w:val="ru-RU" w:eastAsia="zh-CN" w:bidi="ar-SA"/>
        </w:rPr>
        <w:t>е коллеги!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/>
          <w:i w:val="false"/>
          <w:iCs w:val="false"/>
          <w:color w:val="000000"/>
          <w:sz w:val="28"/>
          <w:szCs w:val="28"/>
          <w:shd w:fill="auto" w:val="clear"/>
          <w:lang w:eastAsia="ru-RU"/>
        </w:rPr>
        <w:tab/>
        <w:t xml:space="preserve">Министерство образования Приморского края (далее - министерство) информирует вас о том что, </w:t>
      </w:r>
      <w:r>
        <w:rPr>
          <w:rStyle w:val="Emphasis"/>
          <w:rFonts w:eastAsia="Times New Roman" w:cs="Tinos" w:ascii="Times New Roman" w:hAnsi="Times New Roman"/>
          <w:i w:val="false"/>
          <w:iCs w:val="false"/>
          <w:color w:val="000000"/>
          <w:sz w:val="28"/>
          <w:szCs w:val="28"/>
          <w:shd w:fill="auto" w:val="clear"/>
          <w:lang w:eastAsia="ru-RU"/>
        </w:rPr>
        <w:t>с</w:t>
      </w: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17 марта по 30 апреля 2025 года Фонд Андрея Первозванного совместно с АО «Марка», Инициативной группой по строительству Духовно-исторического комплекса в честь святого праведного воина Феодора Ушакова в Левобережном (Москва) и при поддержке народного художника Российской Федерации, члена Российской Академии художеств Никаса Сафронова проводит конкурс детского рисунка «Адмирал Фёдор Ушаков моими глазами». 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 xml:space="preserve">Генеральный информационной партнер — радиостанция для детей и их родителей «Детское радио». 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 xml:space="preserve">Конкурс пройдет в преддверии Дня детей и родительского счастья, который отмечается по инициативе Фонда </w:t>
      </w: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1 июня.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 xml:space="preserve">Цель конкурса - популяризация исторического вклада в развитие России святого праведного воина Феодора Ушакова и вовлечение детей и молодежи в изучение отечественной истории. 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 xml:space="preserve">К участию в конкурсе приглашаются дети от 6 до 16 лет. 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 xml:space="preserve">По окончании приема заявок экспертами будут отобраны финалисты конкурса, из числа которых затем определяются 10 призеров (Гран-при конкурса и 9 призеров в 3 возрастных категориях). 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>Итоги конкурса будут опубликованы на сайте организатора 1 июня 202</w:t>
      </w: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5</w:t>
      </w: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 xml:space="preserve"> года. На основе рисунка победителя (Гран-при конкурса) АО «Марка» будет выпущена почтовая открытка, которая появятся на прилавках в почтовых отделениях страны. 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ab/>
        <w:t xml:space="preserve">Победители конкурса получат именные дипломы и подарки от организаторов и партнеров конкурса. </w:t>
      </w:r>
      <w:r>
        <w:rPr>
          <w:rStyle w:val="Emphasis"/>
          <w:rFonts w:eastAsia="Times New Roman" w:cs="Tinos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eastAsia="ru-RU"/>
        </w:rPr>
        <w:t>Контактная информация Цедрик Василиса Андреевна, тел: +7(926)458-34-41.</w:t>
      </w:r>
    </w:p>
    <w:p>
      <w:pPr>
        <w:pStyle w:val="Normal"/>
        <w:spacing w:lineRule="auto" w:line="360"/>
        <w:jc w:val="both"/>
        <w:rPr/>
      </w:pPr>
      <w:r>
        <w:rPr>
          <w:rStyle w:val="Emphasis"/>
          <w:rFonts w:eastAsia="Times New Roman" w:cs="Tinos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sz w:val="28"/>
          <w:szCs w:val="28"/>
          <w:shd w:fill="FFFFFF" w:val="clear"/>
          <w:lang w:eastAsia="ru-RU"/>
        </w:rPr>
        <w:tab/>
        <w:t>Министерство просит довести указанную информацию до сведения ваших образовательных учреждений.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Приложение: на </w:t>
      </w:r>
      <w:r>
        <w:rPr>
          <w:color w:val="auto"/>
          <w:sz w:val="28"/>
          <w:szCs w:val="28"/>
        </w:rPr>
        <w:t>14</w:t>
      </w:r>
      <w:r>
        <w:rPr>
          <w:color w:val="auto"/>
          <w:sz w:val="28"/>
          <w:szCs w:val="28"/>
        </w:rPr>
        <w:t xml:space="preserve"> л. в 1экз.</w:t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color w:val="auto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jc w:val="both"/>
        <w:rPr>
          <w:sz w:val="28"/>
          <w:szCs w:val="28"/>
        </w:rPr>
      </w:pPr>
      <w:r>
        <w:rPr>
          <w:color w:val="auto"/>
          <w:sz w:val="28"/>
          <w:szCs w:val="28"/>
        </w:rPr>
        <w:t>Заместитель министра                                                                              О.С.Ре</w:t>
      </w:r>
      <w:r>
        <w:rPr>
          <w:color w:val="auto"/>
          <w:sz w:val="28"/>
          <w:szCs w:val="28"/>
        </w:rPr>
        <w:t>уцкая</w:t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8"/>
          <w:szCs w:val="28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pPr>
      <w:r>
        <w:rPr>
          <w:rFonts w:eastAsia="Times New Roman" w:cs="Times New Roman"/>
          <w:color w:val="auto"/>
          <w:kern w:val="0"/>
          <w:sz w:val="26"/>
          <w:szCs w:val="26"/>
          <w:lang w:val="ru-RU" w:eastAsia="zh-CN" w:bidi="ar-SA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>
          <w:rFonts w:eastAsia="Times New Roman" w:cs="Times New Roman"/>
          <w:color w:val="auto"/>
          <w:kern w:val="0"/>
          <w:lang w:val="ru-RU" w:eastAsia="zh-CN" w:bidi="ar-SA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before="0" w:after="0"/>
        <w:ind w:hanging="0" w:right="0"/>
        <w:jc w:val="both"/>
        <w:rPr/>
      </w:pPr>
      <w:r>
        <w:rPr>
          <w:rFonts w:eastAsia="Times New Roman" w:cs="Times New Roman"/>
          <w:color w:val="auto"/>
          <w:kern w:val="0"/>
          <w:sz w:val="16"/>
          <w:szCs w:val="16"/>
          <w:lang w:val="ru-RU" w:eastAsia="zh-CN" w:bidi="ar-SA"/>
        </w:rPr>
        <w:t>Губарь Таисия Владимировна 8 (423) 240-28-73</w:t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jc w:val="both"/>
        <w:rPr>
          <w:sz w:val="18"/>
          <w:szCs w:val="18"/>
        </w:rPr>
      </w:pPr>
      <w:r>
        <w:rPr>
          <w:sz w:val="18"/>
          <w:szCs w:val="18"/>
        </w:rPr>
      </w:r>
    </w:p>
    <w:sectPr>
      <w:headerReference w:type="default" r:id="rId3"/>
      <w:headerReference w:type="first" r:id="rId4"/>
      <w:type w:val="nextPage"/>
      <w:pgSz w:w="11906" w:h="16838"/>
      <w:pgMar w:left="1418" w:right="851" w:gutter="0" w:header="294" w:top="351" w:footer="0" w:bottom="381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NTTimes/Cyrillic">
    <w:altName w:val="Times New Roma"/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2"/>
  <w:displayBackgroundShape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8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pacing w:lineRule="exact" w:line="280" w:before="120" w:after="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exact" w:line="240"/>
      <w:jc w:val="center"/>
      <w:outlineLvl w:val="1"/>
    </w:pPr>
    <w:rPr>
      <w:b/>
    </w:rPr>
  </w:style>
  <w:style w:type="paragraph" w:styleId="Heading4">
    <w:name w:val="Heading 4"/>
    <w:basedOn w:val="Style13"/>
    <w:next w:val="BodyText"/>
    <w:qFormat/>
    <w:pPr>
      <w:numPr>
        <w:ilvl w:val="3"/>
        <w:numId w:val="1"/>
      </w:numPr>
      <w:spacing w:before="120" w:after="120"/>
      <w:outlineLvl w:val="3"/>
    </w:pPr>
    <w:rPr>
      <w:rFonts w:ascii="Liberation Serif" w:hAnsi="Liberation Serif" w:eastAsia="Tahoma" w:cs="Noto Sans Devanagari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0" w:customStyle="1">
    <w:name w:val="WW8Num3z0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3" w:customStyle="1">
    <w:name w:val="Основной шрифт абзаца3"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Основной шрифт абзаца1"/>
    <w:qFormat/>
    <w:rPr/>
  </w:style>
  <w:style w:type="character" w:styleId="WW-" w:customStyle="1">
    <w:name w:val="WW-Основной шрифт абзаца"/>
    <w:qFormat/>
    <w:rPr>
      <w:sz w:val="20"/>
    </w:rPr>
  </w:style>
  <w:style w:type="character" w:styleId="Hyperlink">
    <w:name w:val="Hyperlink"/>
    <w:basedOn w:val="DefaultParagraphFont"/>
    <w:uiPriority w:val="99"/>
    <w:unhideWhenUsed/>
    <w:rsid w:val="000d248d"/>
    <w:rPr>
      <w:color w:themeColor="hyperlink" w:val="0563C1"/>
      <w:u w:val="single"/>
    </w:rPr>
  </w:style>
  <w:style w:type="character" w:styleId="FollowedHyperlink" w:customStyle="1">
    <w:name w:val="FollowedHyperlink"/>
    <w:rPr>
      <w:color w:val="800080"/>
      <w:sz w:val="20"/>
      <w:u w:val="single"/>
    </w:rPr>
  </w:style>
  <w:style w:type="character" w:styleId="Pagenumber">
    <w:name w:val="page number"/>
    <w:basedOn w:val="1"/>
    <w:qFormat/>
    <w:rPr/>
  </w:style>
  <w:style w:type="character" w:styleId="Style11" w:customStyle="1">
    <w:name w:val="Знак Знак"/>
    <w:qFormat/>
    <w:rPr>
      <w:rFonts w:ascii="Tahoma" w:hAnsi="Tahoma" w:cs="Tahoma"/>
      <w:sz w:val="16"/>
      <w:szCs w:val="16"/>
    </w:rPr>
  </w:style>
  <w:style w:type="character" w:styleId="11" w:customStyle="1">
    <w:name w:val="Знак Знак1"/>
    <w:qFormat/>
    <w:rPr>
      <w:rFonts w:ascii="NTTimes/Cyrillic;Times New Roma" w:hAnsi="NTTimes/Cyrillic;Times New Roma" w:cs="NTTimes/Cyrillic;Times New Roma"/>
      <w:sz w:val="26"/>
      <w:lang w:val="ru-RU" w:bidi="ar-SA"/>
    </w:rPr>
  </w:style>
  <w:style w:type="character" w:styleId="31" w:customStyle="1">
    <w:name w:val="Знак Знак3"/>
    <w:qFormat/>
    <w:rPr>
      <w:rFonts w:ascii="NTTimes/Cyrillic;Times New Roma" w:hAnsi="NTTimes/Cyrillic;Times New Roma" w:cs="NTTimes/Cyrillic;Times New Roma"/>
      <w:sz w:val="26"/>
    </w:rPr>
  </w:style>
  <w:style w:type="character" w:styleId="4" w:customStyle="1">
    <w:name w:val="Знак Знак4"/>
    <w:qFormat/>
    <w:rPr>
      <w:b/>
      <w:sz w:val="22"/>
      <w:lang w:val="ru-RU" w:bidi="ar-SA"/>
    </w:rPr>
  </w:style>
  <w:style w:type="character" w:styleId="21" w:customStyle="1">
    <w:name w:val="Основной текст с отступом 2 Знак"/>
    <w:qFormat/>
    <w:rPr>
      <w:rFonts w:ascii="NTTimes/Cyrillic;Times New Roma" w:hAnsi="NTTimes/Cyrillic;Times New Roma" w:cs="NTTimes/Cyrillic;Times New Roma"/>
      <w:sz w:val="24"/>
    </w:rPr>
  </w:style>
  <w:style w:type="character" w:styleId="Style12" w:customStyle="1">
    <w:name w:val="Верхний колонтитул Знак"/>
    <w:qFormat/>
    <w:rPr>
      <w:rFonts w:ascii="NTTimes/Cyrillic;Times New Roma" w:hAnsi="NTTimes/Cyrillic;Times New Roma" w:cs="NTTimes/Cyrillic;Times New Roma"/>
      <w:sz w:val="24"/>
    </w:rPr>
  </w:style>
  <w:style w:type="character" w:styleId="22" w:customStyle="1">
    <w:name w:val="Основной текст 2 Знак"/>
    <w:qFormat/>
    <w:rPr>
      <w:sz w:val="28"/>
      <w:szCs w:val="28"/>
    </w:rPr>
  </w:style>
  <w:style w:type="character" w:styleId="Strong" w:customStyle="1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ConsPlusNormal" w:customStyle="1">
    <w:name w:val="ConsPlusNormal Знак"/>
    <w:qFormat/>
    <w:rPr>
      <w:rFonts w:ascii="Arial" w:hAnsi="Arial" w:cs="Arial"/>
      <w:sz w:val="28"/>
      <w:szCs w:val="28"/>
    </w:rPr>
  </w:style>
  <w:style w:type="character" w:styleId="Blk" w:customStyle="1">
    <w:name w:val="blk"/>
    <w:qFormat/>
    <w:rPr/>
  </w:style>
  <w:style w:type="character" w:styleId="Doccaption" w:customStyle="1">
    <w:name w:val="doccaption"/>
    <w:qFormat/>
    <w:rPr/>
  </w:style>
  <w:style w:type="character" w:styleId="Bx-messenger-message">
    <w:name w:val="bx-messenger-message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exact" w:line="280"/>
      <w:jc w:val="center"/>
    </w:pPr>
    <w:rPr>
      <w:b/>
      <w:sz w:val="22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32" w:customStyle="1">
    <w:name w:val="Название3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33" w:customStyle="1">
    <w:name w:val="Указатель3"/>
    <w:basedOn w:val="Normal"/>
    <w:qFormat/>
    <w:pPr>
      <w:suppressLineNumbers/>
    </w:pPr>
    <w:rPr>
      <w:rFonts w:cs="Mangal"/>
    </w:rPr>
  </w:style>
  <w:style w:type="paragraph" w:styleId="23" w:customStyle="1">
    <w:name w:val="Название2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4" w:customStyle="1">
    <w:name w:val="Указатель2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pPr>
      <w:widowControl/>
      <w:spacing w:lineRule="auto" w:line="360"/>
      <w:ind w:firstLine="709"/>
      <w:jc w:val="both"/>
    </w:pPr>
    <w:rPr>
      <w:sz w:val="26"/>
    </w:rPr>
  </w:style>
  <w:style w:type="paragraph" w:styleId="Style15" w:customStyle="1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ConsPlusNormal1" w:customStyle="1">
    <w:name w:val="ConsPlu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8"/>
      <w:szCs w:val="28"/>
      <w:lang w:val="ru-RU" w:eastAsia="zh-CN" w:bidi="ar-SA"/>
    </w:rPr>
  </w:style>
  <w:style w:type="paragraph" w:styleId="211" w:customStyle="1">
    <w:name w:val="Основной текст 21"/>
    <w:basedOn w:val="Normal"/>
    <w:qFormat/>
    <w:pPr>
      <w:spacing w:lineRule="auto" w:line="480" w:before="0" w:after="120"/>
    </w:pPr>
    <w:rPr/>
  </w:style>
  <w:style w:type="paragraph" w:styleId="212" w:customStyle="1">
    <w:name w:val="Основной текст с отступом 21"/>
    <w:basedOn w:val="Normal"/>
    <w:qFormat/>
    <w:pPr>
      <w:spacing w:lineRule="auto" w:line="480" w:before="0" w:after="120"/>
      <w:ind w:hanging="0" w:left="283"/>
    </w:pPr>
    <w:rPr/>
  </w:style>
  <w:style w:type="paragraph" w:styleId="Style17" w:customStyle="1">
    <w:name w:val="Содержимое таблицы"/>
    <w:basedOn w:val="Normal"/>
    <w:qFormat/>
    <w:pPr>
      <w:suppressLineNumbers/>
    </w:pPr>
    <w:rPr/>
  </w:style>
  <w:style w:type="paragraph" w:styleId="Style18" w:customStyle="1">
    <w:name w:val="Заголовок таблицы"/>
    <w:basedOn w:val="Style17"/>
    <w:qFormat/>
    <w:pPr>
      <w:jc w:val="center"/>
    </w:pPr>
    <w:rPr>
      <w:b/>
      <w:bCs/>
    </w:rPr>
  </w:style>
  <w:style w:type="paragraph" w:styleId="Style19" w:customStyle="1">
    <w:name w:val="Содержимое врезки"/>
    <w:basedOn w:val="BodyText"/>
    <w:qFormat/>
    <w:pPr/>
    <w:rPr/>
  </w:style>
  <w:style w:type="paragraph" w:styleId="NormalWeb">
    <w:name w:val="Normal (Web)"/>
    <w:basedOn w:val="Normal"/>
    <w:qFormat/>
    <w:pPr>
      <w:widowControl/>
      <w:suppressAutoHyphens w:val="false"/>
      <w:spacing w:before="100" w:after="119"/>
    </w:pPr>
    <w:rPr>
      <w:szCs w:val="24"/>
    </w:rPr>
  </w:style>
  <w:style w:type="paragraph" w:styleId="Western" w:customStyle="1">
    <w:name w:val="western"/>
    <w:basedOn w:val="Normal"/>
    <w:qFormat/>
    <w:pPr>
      <w:widowControl/>
      <w:suppressAutoHyphens w:val="false"/>
      <w:spacing w:lineRule="atLeast" w:line="278" w:before="100" w:after="100"/>
      <w:jc w:val="center"/>
    </w:pPr>
    <w:rPr>
      <w:szCs w:val="24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Indent2">
    <w:name w:val="Body Text Indent 2"/>
    <w:basedOn w:val="Normal"/>
    <w:qFormat/>
    <w:pPr>
      <w:spacing w:lineRule="auto" w:line="480" w:before="0" w:after="120"/>
      <w:ind w:hanging="0" w:left="283"/>
    </w:pPr>
    <w:rPr/>
  </w:style>
  <w:style w:type="paragraph" w:styleId="14" w:customStyle="1">
    <w:name w:val="Обычный (веб)1"/>
    <w:basedOn w:val="Normal"/>
    <w:qFormat/>
    <w:pPr>
      <w:spacing w:before="100" w:after="100"/>
    </w:pPr>
    <w:rPr>
      <w:kern w:val="2"/>
      <w:szCs w:val="24"/>
      <w:lang w:bidi="hi-IN"/>
    </w:rPr>
  </w:style>
  <w:style w:type="paragraph" w:styleId="ListParagraph">
    <w:name w:val="List Paragraph"/>
    <w:basedOn w:val="Normal"/>
    <w:qFormat/>
    <w:pPr>
      <w:widowControl/>
      <w:suppressAutoHyphens w:val="false"/>
      <w:spacing w:before="0" w:after="0"/>
      <w:ind w:hanging="0" w:left="720"/>
      <w:contextualSpacing/>
    </w:pPr>
    <w:rPr>
      <w:sz w:val="20"/>
      <w:szCs w:val="20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paragraph" w:styleId="15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6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39"/>
    <w:rsid w:val="00b066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78BB-8472-44C5-BDB7-AB0294853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Application>LibreOffice/7.6.7.2$Linux_X86_64 LibreOffice_project/60$Build-2</Application>
  <AppVersion>15.0000</AppVersion>
  <Pages>2</Pages>
  <Words>252</Words>
  <Characters>1686</Characters>
  <CharactersWithSpaces>2010</CharactersWithSpaces>
  <Paragraphs>27</Paragraphs>
  <Company>APK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perminova_ta</dc:creator>
  <dc:description/>
  <dc:language>ru-RU</dc:language>
  <cp:lastModifiedBy/>
  <cp:lastPrinted>2025-02-20T15:13:34Z</cp:lastPrinted>
  <dcterms:modified xsi:type="dcterms:W3CDTF">2025-03-21T10:31:44Z</dcterms:modified>
  <cp:revision>100</cp:revision>
  <dc:subject/>
  <dc:title>«GERBM»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